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272F3F">
      <w:pPr>
        <w:keepNext w:val="0"/>
        <w:keepLines w:val="0"/>
        <w:pageBreakBefore w:val="0"/>
        <w:widowControl w:val="0"/>
        <w:kinsoku/>
        <w:wordWrap/>
        <w:overflowPunct/>
        <w:topLinePunct w:val="0"/>
        <w:autoSpaceDE/>
        <w:autoSpaceDN/>
        <w:bidi w:val="0"/>
        <w:adjustRightInd/>
        <w:snapToGrid/>
        <w:spacing w:line="720" w:lineRule="exact"/>
        <w:jc w:val="center"/>
        <w:textAlignment w:val="auto"/>
        <w:rPr>
          <w:rFonts w:hint="eastAsia" w:ascii="方正小标宋_GBK" w:hAnsi="方正小标宋_GBK" w:eastAsia="方正小标宋_GBK" w:cs="方正小标宋_GBK"/>
          <w:b/>
          <w:bCs/>
          <w:sz w:val="44"/>
          <w:szCs w:val="44"/>
          <w:lang w:eastAsia="zh-CN"/>
        </w:rPr>
      </w:pPr>
      <w:r>
        <w:rPr>
          <w:rFonts w:hint="eastAsia" w:ascii="方正小标宋_GBK" w:hAnsi="方正小标宋_GBK" w:eastAsia="方正小标宋_GBK" w:cs="方正小标宋_GBK"/>
          <w:b/>
          <w:bCs/>
          <w:sz w:val="44"/>
          <w:szCs w:val="44"/>
          <w:lang w:eastAsia="zh-CN"/>
        </w:rPr>
        <w:t>宁夏公路管理中心吴忠分中心市场化路段抽检路段公路技术状况监管分析报告</w:t>
      </w:r>
    </w:p>
    <w:p w14:paraId="1F59AC52">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p>
    <w:p w14:paraId="06058F2A">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为及时了解和全面掌握分中心辖养市场化路段技术状况，提高养护工作和管理决策的科学性，按照《公路技术状况评定标准》（JTG 5210-2018）相关内容，分中心对部分市场化路段</w:t>
      </w:r>
      <w:bookmarkStart w:id="0" w:name="_GoBack"/>
      <w:bookmarkEnd w:id="0"/>
      <w:r>
        <w:rPr>
          <w:rFonts w:hint="eastAsia" w:ascii="仿宋" w:hAnsi="仿宋" w:eastAsia="仿宋" w:cs="仿宋"/>
          <w:sz w:val="32"/>
          <w:szCs w:val="32"/>
          <w:lang w:val="en-US" w:eastAsia="zh-CN"/>
        </w:rPr>
        <w:t>进行抽检，以下为抽检结果明细。</w:t>
      </w:r>
    </w:p>
    <w:p w14:paraId="0BC5E10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一、基本情况</w:t>
      </w:r>
    </w:p>
    <w:p w14:paraId="221667A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rPr>
      </w:pPr>
      <w:r>
        <w:rPr>
          <w:rFonts w:hint="eastAsia" w:ascii="仿宋" w:hAnsi="仿宋" w:eastAsia="仿宋" w:cs="仿宋"/>
          <w:sz w:val="32"/>
          <w:szCs w:val="32"/>
          <w:lang w:val="en-US" w:eastAsia="zh-CN"/>
        </w:rPr>
        <w:t>全区国省干线共计里程1751.861km，本次抽检路段里程GSALLCHECKKMkm，涉及</w:t>
      </w:r>
      <w:r>
        <w:rPr>
          <w:rFonts w:hint="eastAsia" w:ascii="仿宋" w:hAnsi="仿宋" w:eastAsia="仿宋" w:cs="仿宋"/>
          <w:sz w:val="32"/>
          <w:szCs w:val="32"/>
        </w:rPr>
        <w:t>普通国省干线公路</w:t>
      </w:r>
      <w:r>
        <w:rPr>
          <w:rFonts w:hint="eastAsia" w:ascii="仿宋" w:hAnsi="仿宋" w:eastAsia="仿宋" w:cs="仿宋"/>
          <w:sz w:val="32"/>
          <w:szCs w:val="32"/>
          <w:lang w:val="en-US" w:eastAsia="zh-CN"/>
        </w:rPr>
        <w:t>GSALLROAD</w:t>
      </w:r>
      <w:r>
        <w:rPr>
          <w:rFonts w:hint="eastAsia" w:ascii="仿宋" w:hAnsi="仿宋" w:eastAsia="仿宋" w:cs="仿宋"/>
          <w:sz w:val="32"/>
          <w:szCs w:val="32"/>
        </w:rPr>
        <w:t>条</w:t>
      </w:r>
      <w:r>
        <w:rPr>
          <w:rFonts w:hint="eastAsia" w:ascii="仿宋" w:hAnsi="仿宋" w:eastAsia="仿宋" w:cs="仿宋"/>
          <w:color w:val="000000"/>
          <w:kern w:val="0"/>
          <w:sz w:val="32"/>
          <w:szCs w:val="32"/>
          <w:lang w:bidi="ar"/>
        </w:rPr>
        <w:t>。</w:t>
      </w:r>
      <w:r>
        <w:rPr>
          <w:rFonts w:hint="eastAsia" w:ascii="仿宋" w:hAnsi="仿宋" w:eastAsia="仿宋" w:cs="仿宋"/>
          <w:sz w:val="32"/>
          <w:szCs w:val="32"/>
        </w:rPr>
        <w:t>其中国道</w:t>
      </w:r>
      <w:r>
        <w:rPr>
          <w:rFonts w:hint="eastAsia" w:ascii="仿宋" w:hAnsi="仿宋" w:eastAsia="仿宋" w:cs="仿宋"/>
          <w:sz w:val="32"/>
          <w:szCs w:val="32"/>
          <w:lang w:val="en-US" w:eastAsia="zh-CN"/>
        </w:rPr>
        <w:t>GSGROAD</w:t>
      </w:r>
      <w:r>
        <w:rPr>
          <w:rFonts w:hint="eastAsia" w:ascii="仿宋" w:hAnsi="仿宋" w:eastAsia="仿宋" w:cs="仿宋"/>
          <w:sz w:val="32"/>
          <w:szCs w:val="32"/>
        </w:rPr>
        <w:t>条，省道</w:t>
      </w:r>
      <w:r>
        <w:rPr>
          <w:rFonts w:hint="eastAsia" w:ascii="仿宋" w:hAnsi="仿宋" w:eastAsia="仿宋" w:cs="仿宋"/>
          <w:sz w:val="32"/>
          <w:szCs w:val="32"/>
          <w:lang w:val="en-US" w:eastAsia="zh-CN"/>
        </w:rPr>
        <w:t>GSSROAD</w:t>
      </w:r>
      <w:r>
        <w:rPr>
          <w:rFonts w:hint="eastAsia" w:ascii="仿宋" w:hAnsi="仿宋" w:eastAsia="仿宋" w:cs="仿宋"/>
          <w:sz w:val="32"/>
          <w:szCs w:val="32"/>
        </w:rPr>
        <w:t>条</w:t>
      </w:r>
      <w:r>
        <w:rPr>
          <w:rFonts w:hint="eastAsia" w:ascii="仿宋" w:hAnsi="仿宋" w:eastAsia="仿宋" w:cs="仿宋"/>
          <w:sz w:val="32"/>
          <w:szCs w:val="32"/>
          <w:lang w:eastAsia="zh-CN"/>
        </w:rPr>
        <w:t>。</w:t>
      </w:r>
      <w:r>
        <w:rPr>
          <w:rFonts w:hint="eastAsia" w:ascii="仿宋" w:hAnsi="仿宋" w:eastAsia="仿宋" w:cs="仿宋"/>
          <w:color w:val="000000"/>
          <w:kern w:val="0"/>
          <w:sz w:val="32"/>
          <w:szCs w:val="32"/>
          <w:lang w:eastAsia="zh-CN" w:bidi="ar"/>
        </w:rPr>
        <w:t>全区抽检路段</w:t>
      </w:r>
      <w:r>
        <w:rPr>
          <w:rFonts w:hint="eastAsia" w:ascii="仿宋" w:hAnsi="仿宋" w:eastAsia="仿宋" w:cs="仿宋"/>
          <w:sz w:val="32"/>
          <w:szCs w:val="32"/>
          <w:lang w:val="en-US" w:eastAsia="zh-CN"/>
        </w:rPr>
        <w:t>平均PQI值为GSALLROAD，其中国道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平均PQI值为GSGROAD，省道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平均PQI值为GSSROAD（所有的平均PQI值都是加权平均），以下为各分中心具体抽检情况</w:t>
      </w:r>
      <w:r>
        <w:rPr>
          <w:rFonts w:hint="eastAsia" w:ascii="仿宋" w:hAnsi="仿宋" w:eastAsia="仿宋" w:cs="仿宋"/>
          <w:sz w:val="32"/>
          <w:szCs w:val="32"/>
        </w:rPr>
        <w:t>：</w:t>
      </w:r>
    </w:p>
    <w:p w14:paraId="2F35DBFC">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drawing>
          <wp:inline distT="0" distB="0" distL="114300" distR="114300">
            <wp:extent cx="5270500" cy="2543810"/>
            <wp:effectExtent l="0" t="0" r="0" b="8890"/>
            <wp:docPr id="66" name="图片 66" descr="gs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stable1"/>
                    <pic:cNvPicPr>
                      <a:picLocks noChangeAspect="1"/>
                    </pic:cNvPicPr>
                  </pic:nvPicPr>
                  <pic:blipFill>
                    <a:blip r:embed="rId4"/>
                    <a:stretch>
                      <a:fillRect/>
                    </a:stretch>
                  </pic:blipFill>
                  <pic:spPr>
                    <a:xfrm>
                      <a:off x="0" y="0"/>
                      <a:ext cx="5270500" cy="2543810"/>
                    </a:xfrm>
                    <a:prstGeom prst="rect">
                      <a:avLst/>
                    </a:prstGeom>
                  </pic:spPr>
                </pic:pic>
              </a:graphicData>
            </a:graphic>
          </wp:inline>
        </w:drawing>
      </w:r>
    </w:p>
    <w:p w14:paraId="291A838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二、抽检结果比对情况</w:t>
      </w:r>
    </w:p>
    <w:p w14:paraId="366BFD55">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1.年度指标达标情况（作为可选导出项）</w:t>
      </w:r>
    </w:p>
    <w:p w14:paraId="130BC45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本年度上级交通运输主管部门下达的PQI指标为90.5，本次抽检结果中未达标的路段明细如下：</w:t>
      </w:r>
    </w:p>
    <w:p w14:paraId="64C825D4">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a:blip r:embed="rId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p>
    <w:p w14:paraId="74FF011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default"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2.与管养单位PQI自检结果的误差超限情况比对情况</w:t>
      </w:r>
    </w:p>
    <w:p w14:paraId="6CDFA0F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路面抽检结果与年报路况数据差异按照△PQI(抽检路段年报PQI与抽检对应路段的PQI差值的绝对值)进行评分，其中优等路△PQI≤3,良等路△PQI≤5,中等路△PQI≤8,次差等路△PQI≤15,在以上范围内不扣分。</w:t>
      </w:r>
    </w:p>
    <w:p w14:paraId="56AA5C05">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firstLine="640" w:firstLineChars="200"/>
        <w:jc w:val="left"/>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sz w:val="32"/>
          <w:szCs w:val="32"/>
          <w:lang w:val="en-US" w:eastAsia="zh-CN"/>
        </w:rPr>
        <w:t>本次抽检结果中，</w:t>
      </w:r>
      <w:r>
        <w:rPr>
          <w:rFonts w:hint="eastAsia" w:ascii="方正仿宋_GB2312" w:hAnsi="方正仿宋_GB2312" w:eastAsia="方正仿宋_GB2312" w:cs="方正仿宋_GB2312"/>
          <w:b w:val="0"/>
          <w:bCs w:val="0"/>
          <w:color w:val="auto"/>
          <w:kern w:val="2"/>
          <w:sz w:val="32"/>
          <w:szCs w:val="32"/>
          <w:lang w:val="en-US" w:eastAsia="zh-CN" w:bidi="ar"/>
        </w:rPr>
        <w:t>优等路△PQI≤3的路段占比为</w:t>
      </w:r>
      <w:r>
        <w:rPr>
          <w:rFonts w:hint="eastAsia" w:ascii="仿宋" w:hAnsi="仿宋" w:eastAsia="仿宋" w:cs="仿宋"/>
          <w:b w:val="0"/>
          <w:bCs w:val="0"/>
          <w:color w:val="auto"/>
          <w:kern w:val="2"/>
          <w:sz w:val="32"/>
          <w:szCs w:val="32"/>
          <w:lang w:val="en-US" w:eastAsia="zh-CN" w:bidi="ar"/>
        </w:rPr>
        <w:t>GUOSHEGYOU%</w:t>
      </w:r>
      <w:r>
        <w:rPr>
          <w:rFonts w:hint="eastAsia" w:ascii="方正仿宋_GB2312" w:hAnsi="方正仿宋_GB2312" w:eastAsia="方正仿宋_GB2312" w:cs="方正仿宋_GB2312"/>
          <w:b w:val="0"/>
          <w:bCs w:val="0"/>
          <w:color w:val="auto"/>
          <w:kern w:val="2"/>
          <w:sz w:val="32"/>
          <w:szCs w:val="32"/>
          <w:lang w:val="en-US" w:eastAsia="zh-CN" w:bidi="ar"/>
        </w:rPr>
        <w:t>，良等路△PQI≤5的路段占比为</w:t>
      </w:r>
      <w:r>
        <w:rPr>
          <w:rFonts w:hint="eastAsia" w:ascii="仿宋" w:hAnsi="仿宋" w:eastAsia="仿宋" w:cs="仿宋"/>
          <w:b w:val="0"/>
          <w:bCs w:val="0"/>
          <w:color w:val="auto"/>
          <w:kern w:val="2"/>
          <w:sz w:val="32"/>
          <w:szCs w:val="32"/>
          <w:lang w:val="en-US" w:eastAsia="zh-CN" w:bidi="ar"/>
        </w:rPr>
        <w:t>GUOSHENGLIANG%</w:t>
      </w:r>
      <w:r>
        <w:rPr>
          <w:rFonts w:hint="eastAsia" w:ascii="方正仿宋_GB2312" w:hAnsi="方正仿宋_GB2312" w:eastAsia="方正仿宋_GB2312" w:cs="方正仿宋_GB2312"/>
          <w:b w:val="0"/>
          <w:bCs w:val="0"/>
          <w:color w:val="auto"/>
          <w:kern w:val="2"/>
          <w:sz w:val="32"/>
          <w:szCs w:val="32"/>
          <w:lang w:val="en-US" w:eastAsia="zh-CN" w:bidi="ar"/>
        </w:rPr>
        <w:t>，中等路△PQI≤8的路段占比为</w:t>
      </w:r>
      <w:r>
        <w:rPr>
          <w:rFonts w:hint="eastAsia" w:ascii="仿宋" w:hAnsi="仿宋" w:eastAsia="仿宋" w:cs="仿宋"/>
          <w:b w:val="0"/>
          <w:bCs w:val="0"/>
          <w:color w:val="auto"/>
          <w:kern w:val="2"/>
          <w:sz w:val="32"/>
          <w:szCs w:val="32"/>
          <w:lang w:val="en-US" w:eastAsia="zh-CN" w:bidi="ar"/>
        </w:rPr>
        <w:t>GUOSHENGZHONG%</w:t>
      </w:r>
      <w:r>
        <w:rPr>
          <w:rFonts w:hint="eastAsia" w:ascii="方正仿宋_GB2312" w:hAnsi="方正仿宋_GB2312" w:eastAsia="方正仿宋_GB2312" w:cs="方正仿宋_GB2312"/>
          <w:b w:val="0"/>
          <w:bCs w:val="0"/>
          <w:color w:val="auto"/>
          <w:kern w:val="2"/>
          <w:sz w:val="32"/>
          <w:szCs w:val="32"/>
          <w:lang w:val="en-US" w:eastAsia="zh-CN" w:bidi="ar"/>
        </w:rPr>
        <w:t>，次差等路△PQI≤15的路段占比为</w:t>
      </w:r>
      <w:r>
        <w:rPr>
          <w:rFonts w:hint="eastAsia" w:ascii="仿宋" w:hAnsi="仿宋" w:eastAsia="仿宋" w:cs="仿宋"/>
          <w:b w:val="0"/>
          <w:bCs w:val="0"/>
          <w:color w:val="auto"/>
          <w:kern w:val="2"/>
          <w:sz w:val="32"/>
          <w:szCs w:val="32"/>
          <w:lang w:val="en-US" w:eastAsia="zh-CN" w:bidi="ar"/>
        </w:rPr>
        <w:t>GUOSHENGCICHA%</w:t>
      </w:r>
      <w:r>
        <w:rPr>
          <w:rFonts w:hint="eastAsia" w:ascii="方正仿宋_GB2312" w:hAnsi="方正仿宋_GB2312" w:eastAsia="方正仿宋_GB2312" w:cs="方正仿宋_GB2312"/>
          <w:b w:val="0"/>
          <w:bCs w:val="0"/>
          <w:color w:val="auto"/>
          <w:kern w:val="2"/>
          <w:sz w:val="32"/>
          <w:szCs w:val="32"/>
          <w:lang w:val="en-US" w:eastAsia="zh-CN" w:bidi="ar"/>
        </w:rPr>
        <w:t>。具体路段△PQI明细如下：</w:t>
      </w:r>
    </w:p>
    <w:p w14:paraId="75458D8A">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4" name="图片 114" descr="PQI等级不一致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QI等级不一致__1"/>
                    <pic:cNvPicPr>
                      <a:picLocks noChangeAspect="1"/>
                    </pic:cNvPicPr>
                  </pic:nvPicPr>
                  <pic:blipFill>
                    <a:blip r:embed="rId3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3" name="图片 113" descr="PQI等级不一致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QI等级不一致__2"/>
                    <pic:cNvPicPr>
                      <a:picLocks noChangeAspect="1"/>
                    </pic:cNvPicPr>
                  </pic:nvPicPr>
                  <pic:blipFill>
                    <a:blip r:embed="rId36"/>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2" name="图片 112" descr="PQI等级不一致_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QI等级不一致__3"/>
                    <pic:cNvPicPr>
                      <a:picLocks noChangeAspect="1"/>
                    </pic:cNvPicPr>
                  </pic:nvPicPr>
                  <pic:blipFill>
                    <a:blip r:embed="rId3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1" name="图片 111" descr="PQI等级不一致_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QI等级不一致__4"/>
                    <pic:cNvPicPr>
                      <a:picLocks noChangeAspect="1"/>
                    </pic:cNvPicPr>
                  </pic:nvPicPr>
                  <pic:blipFill>
                    <a:blip r:embed="rId38"/>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0" name="图片 110" descr="PQI等级不一致_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QI等级不一致__5"/>
                    <pic:cNvPicPr>
                      <a:picLocks noChangeAspect="1"/>
                    </pic:cNvPicPr>
                  </pic:nvPicPr>
                  <pic:blipFill>
                    <a:blip r:embed="rId3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9" name="图片 109" descr="PQI等级不一致_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QI等级不一致__6"/>
                    <pic:cNvPicPr>
                      <a:picLocks noChangeAspect="1"/>
                    </pic:cNvPicPr>
                  </pic:nvPicPr>
                  <pic:blipFill>
                    <a:blip r:embed="rId4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8" name="图片 108" descr="PQI等级不一致_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PQI等级不一致__7"/>
                    <pic:cNvPicPr>
                      <a:picLocks noChangeAspect="1"/>
                    </pic:cNvPicPr>
                  </pic:nvPicPr>
                  <pic:blipFill>
                    <a:blip r:embed="rId41"/>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7" name="图片 107" descr="PQI等级不一致_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QI等级不一致__8"/>
                    <pic:cNvPicPr>
                      <a:picLocks noChangeAspect="1"/>
                    </pic:cNvPicPr>
                  </pic:nvPicPr>
                  <pic:blipFill>
                    <a:blip r:embed="rId42"/>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6" name="图片 106" descr="PQI等级不一致_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QI等级不一致__9"/>
                    <pic:cNvPicPr>
                      <a:picLocks noChangeAspect="1"/>
                    </pic:cNvPicPr>
                  </pic:nvPicPr>
                  <pic:blipFill>
                    <a:blip r:embed="rId43"/>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5" name="图片 105" descr="PQI等级不一致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PQI等级不一致__10"/>
                    <pic:cNvPicPr>
                      <a:picLocks noChangeAspect="1"/>
                    </pic:cNvPicPr>
                  </pic:nvPicPr>
                  <pic:blipFill>
                    <a:blip r:embed="rId44"/>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4" name="图片 104" descr="PQI等级不一致_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PQI等级不一致__11"/>
                    <pic:cNvPicPr>
                      <a:picLocks noChangeAspect="1"/>
                    </pic:cNvPicPr>
                  </pic:nvPicPr>
                  <pic:blipFill>
                    <a:blip r:embed="rId4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3" name="图片 103" descr="PQI等级不一致_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PQI等级不一致__12"/>
                    <pic:cNvPicPr>
                      <a:picLocks noChangeAspect="1"/>
                    </pic:cNvPicPr>
                  </pic:nvPicPr>
                  <pic:blipFill>
                    <a:blip r:embed="rId46"/>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2" name="图片 102" descr="PQI等级不一致_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QI等级不一致__13"/>
                    <pic:cNvPicPr>
                      <a:picLocks noChangeAspect="1"/>
                    </pic:cNvPicPr>
                  </pic:nvPicPr>
                  <pic:blipFill>
                    <a:blip r:embed="rId4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1" name="图片 101" descr="PQI等级不一致_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QI等级不一致__14"/>
                    <pic:cNvPicPr>
                      <a:picLocks noChangeAspect="1"/>
                    </pic:cNvPicPr>
                  </pic:nvPicPr>
                  <pic:blipFill>
                    <a:blip r:embed="rId48"/>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0" name="图片 100" descr="PQI等级不一致_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QI等级不一致__15"/>
                    <pic:cNvPicPr>
                      <a:picLocks noChangeAspect="1"/>
                    </pic:cNvPicPr>
                  </pic:nvPicPr>
                  <pic:blipFill>
                    <a:blip r:embed="rId4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99" name="图片 99" descr="PQI等级不一致_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QI等级不一致__16"/>
                    <pic:cNvPicPr>
                      <a:picLocks noChangeAspect="1"/>
                    </pic:cNvPicPr>
                  </pic:nvPicPr>
                  <pic:blipFill>
                    <a:blip r:embed="rId5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98" name="图片 98" descr="PQI等级不一致_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QI等级不一致__17"/>
                    <pic:cNvPicPr>
                      <a:picLocks noChangeAspect="1"/>
                    </pic:cNvPicPr>
                  </pic:nvPicPr>
                  <pic:blipFill>
                    <a:blip r:embed="rId51"/>
                    <a:stretch>
                      <a:fillRect/>
                    </a:stretch>
                  </pic:blipFill>
                  <pic:spPr>
                    <a:xfrm>
                      <a:off x="0" y="0"/>
                      <a:ext cx="5274310" cy="7344410"/>
                    </a:xfrm>
                    <a:prstGeom prst="rect">
                      <a:avLst/>
                    </a:prstGeom>
                  </pic:spPr>
                </pic:pic>
              </a:graphicData>
            </a:graphic>
          </wp:inline>
        </w:drawing>
      </w:r>
    </w:p>
    <w:p w14:paraId="5A06886F">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firstLine="640" w:firstLineChars="200"/>
        <w:jc w:val="both"/>
        <w:textAlignment w:val="auto"/>
        <w:rPr>
          <w:rFonts w:hint="eastAsia" w:ascii="方正仿宋_GB2312" w:hAnsi="方正仿宋_GB2312" w:eastAsia="方正仿宋_GB2312" w:cs="方正仿宋_GB2312"/>
          <w:b w:val="0"/>
          <w:bCs w:val="0"/>
          <w:color w:val="auto"/>
          <w:kern w:val="2"/>
          <w:sz w:val="22"/>
          <w:szCs w:val="2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各管养单位的△PQI得分排名如下：</w:t>
      </w:r>
    </w:p>
    <w:p w14:paraId="122FA0A8">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drawing>
          <wp:inline distT="0" distB="0" distL="114300" distR="114300">
            <wp:extent cx="5266690" cy="2217420"/>
            <wp:effectExtent l="0" t="0" r="3810" b="5080"/>
            <wp:docPr id="115" name="图片 115" descr="PQ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QI2"/>
                    <pic:cNvPicPr>
                      <a:picLocks noChangeAspect="1"/>
                    </pic:cNvPicPr>
                  </pic:nvPicPr>
                  <pic:blipFill>
                    <a:blip r:embed="rId52"/>
                    <a:stretch>
                      <a:fillRect/>
                    </a:stretch>
                  </pic:blipFill>
                  <pic:spPr>
                    <a:xfrm>
                      <a:off x="0" y="0"/>
                      <a:ext cx="5266690" cy="2217420"/>
                    </a:xfrm>
                    <a:prstGeom prst="rect">
                      <a:avLst/>
                    </a:prstGeom>
                  </pic:spPr>
                </pic:pic>
              </a:graphicData>
            </a:graphic>
          </wp:inline>
        </w:drawing>
      </w:r>
    </w:p>
    <w:p w14:paraId="6380CD71">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3.依据《沥青路面养护技术规范》对抽检结果进行梳理，抽检路段中不达标的路段明细如下：</w:t>
      </w:r>
    </w:p>
    <w:p w14:paraId="02DDC643">
      <w:pPr>
        <w:jc w:val="center"/>
        <w:rPr>
          <w:rFonts w:hint="eastAsia" w:eastAsia="宋体"/>
          <w:lang w:eastAsia="zh-CN"/>
        </w:rPr>
      </w:pPr>
    </w:p>
    <w:p w14:paraId="3AA96B7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21" name="图片 121"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不达标路段上行_1"/>
                    <pic:cNvPicPr>
                      <a:picLocks noChangeAspect="1"/>
                    </pic:cNvPicPr>
                  </pic:nvPicPr>
                  <pic:blipFill>
                    <a:blip r:embed="rId53"/>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20" name="图片 120" descr="不达标路段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不达标路段上行_2"/>
                    <pic:cNvPicPr>
                      <a:picLocks noChangeAspect="1"/>
                    </pic:cNvPicPr>
                  </pic:nvPicPr>
                  <pic:blipFill>
                    <a:blip r:embed="rId54"/>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9" name="图片 119" descr="不达标路段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不达标路段上行_3"/>
                    <pic:cNvPicPr>
                      <a:picLocks noChangeAspect="1"/>
                    </pic:cNvPicPr>
                  </pic:nvPicPr>
                  <pic:blipFill>
                    <a:blip r:embed="rId55"/>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8" name="图片 118" descr="不达标路段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不达标路段上行_4"/>
                    <pic:cNvPicPr>
                      <a:picLocks noChangeAspect="1"/>
                    </pic:cNvPicPr>
                  </pic:nvPicPr>
                  <pic:blipFill>
                    <a:blip r:embed="rId56"/>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7" name="图片 117"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不达标路段下行_1"/>
                    <pic:cNvPicPr>
                      <a:picLocks noChangeAspect="1"/>
                    </pic:cNvPicPr>
                  </pic:nvPicPr>
                  <pic:blipFill>
                    <a:blip r:embed="rId57"/>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6" name="图片 116"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不达标路段下行_2"/>
                    <pic:cNvPicPr>
                      <a:picLocks noChangeAspect="1"/>
                    </pic:cNvPicPr>
                  </pic:nvPicPr>
                  <pic:blipFill>
                    <a:blip r:embed="rId58"/>
                    <a:stretch>
                      <a:fillRect/>
                    </a:stretch>
                  </pic:blipFill>
                  <pic:spPr>
                    <a:xfrm>
                      <a:off x="0" y="0"/>
                      <a:ext cx="5268595" cy="6746875"/>
                    </a:xfrm>
                    <a:prstGeom prst="rect">
                      <a:avLst/>
                    </a:prstGeom>
                  </pic:spPr>
                </pic:pic>
              </a:graphicData>
            </a:graphic>
          </wp:inline>
        </w:drawing>
      </w:r>
    </w:p>
    <w:p w14:paraId="255B3FC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4.影响行车安全的病害明细</w:t>
      </w:r>
    </w:p>
    <w:p w14:paraId="7180CAB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普通国省干线沥青路面中影响行车安全的病害包括坑槽、车辙、沉陷、拥抱和波浪。</w:t>
      </w:r>
    </w:p>
    <w:p w14:paraId="69B94CA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通过对抽检路段的数据分析，水泥路面中存在影响行车安全的病害及其所处路段具体明细如下：</w:t>
      </w:r>
    </w:p>
    <w:p w14:paraId="4057E13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p>
    <w:p w14:paraId="4DEF4CC9">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7" name="图片 137" descr="上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上行病害明细表_1"/>
                    <pic:cNvPicPr>
                      <a:picLocks noChangeAspect="1"/>
                    </pic:cNvPicPr>
                  </pic:nvPicPr>
                  <pic:blipFill>
                    <a:blip r:embed="rId5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6" name="图片 136" descr="上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上行病害明细表_2"/>
                    <pic:cNvPicPr>
                      <a:picLocks noChangeAspect="1"/>
                    </pic:cNvPicPr>
                  </pic:nvPicPr>
                  <pic:blipFill>
                    <a:blip r:embed="rId6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5" name="图片 135" descr="上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上行病害明细表_3"/>
                    <pic:cNvPicPr>
                      <a:picLocks noChangeAspect="1"/>
                    </pic:cNvPicPr>
                  </pic:nvPicPr>
                  <pic:blipFill>
                    <a:blip r:embed="rId61"/>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4" name="图片 134" descr="上行病害明细表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上行病害明细表_4"/>
                    <pic:cNvPicPr>
                      <a:picLocks noChangeAspect="1"/>
                    </pic:cNvPicPr>
                  </pic:nvPicPr>
                  <pic:blipFill>
                    <a:blip r:embed="rId62"/>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3" name="图片 133" descr="上行病害明细表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上行病害明细表_5"/>
                    <pic:cNvPicPr>
                      <a:picLocks noChangeAspect="1"/>
                    </pic:cNvPicPr>
                  </pic:nvPicPr>
                  <pic:blipFill>
                    <a:blip r:embed="rId63"/>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2" name="图片 132" descr="下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下行病害明细表_1"/>
                    <pic:cNvPicPr>
                      <a:picLocks noChangeAspect="1"/>
                    </pic:cNvPicPr>
                  </pic:nvPicPr>
                  <pic:blipFill>
                    <a:blip r:embed="rId64"/>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1" name="图片 131" descr="下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下行病害明细表_2"/>
                    <pic:cNvPicPr>
                      <a:picLocks noChangeAspect="1"/>
                    </pic:cNvPicPr>
                  </pic:nvPicPr>
                  <pic:blipFill>
                    <a:blip r:embed="rId6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0" name="图片 130" descr="下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下行病害明细表_3"/>
                    <pic:cNvPicPr>
                      <a:picLocks noChangeAspect="1"/>
                    </pic:cNvPicPr>
                  </pic:nvPicPr>
                  <pic:blipFill>
                    <a:blip r:embed="rId66"/>
                    <a:stretch>
                      <a:fillRect/>
                    </a:stretch>
                  </pic:blipFill>
                  <pic:spPr>
                    <a:xfrm>
                      <a:off x="0" y="0"/>
                      <a:ext cx="5274310" cy="7344410"/>
                    </a:xfrm>
                    <a:prstGeom prst="rect">
                      <a:avLst/>
                    </a:prstGeom>
                  </pic:spPr>
                </pic:pic>
              </a:graphicData>
            </a:graphic>
          </wp:inline>
        </w:drawing>
      </w:r>
    </w:p>
    <w:p w14:paraId="297F61BC">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5.路面有效修补路率</w:t>
      </w:r>
    </w:p>
    <w:p w14:paraId="52AADFA7">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依据《宁夏公路管理中心效能目标管理（各分中心）考核细则》路面病害有效修补率不低于50%，每下降1个点，扣2分。（计算方式为：当年年底检测病害数据与上年度年底病害数据的比值，病害有折算系数，将长度等转换为面积）</w:t>
      </w:r>
    </w:p>
    <w:p w14:paraId="649AB89B">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sz w:val="32"/>
          <w:szCs w:val="32"/>
          <w:lang w:val="en-US" w:eastAsia="zh-CN"/>
        </w:rPr>
        <w:t>本次抽检路段</w:t>
      </w:r>
      <w:r>
        <w:rPr>
          <w:rFonts w:hint="eastAsia" w:ascii="方正仿宋_GB2312" w:hAnsi="方正仿宋_GB2312" w:eastAsia="方正仿宋_GB2312" w:cs="方正仿宋_GB2312"/>
          <w:color w:val="auto"/>
          <w:kern w:val="2"/>
          <w:sz w:val="32"/>
          <w:szCs w:val="32"/>
          <w:lang w:val="en-US" w:eastAsia="zh-CN" w:bidi="ar"/>
        </w:rPr>
        <w:t>路面有效修补路率明细如下：</w:t>
      </w:r>
    </w:p>
    <w:p w14:paraId="3A1916A5">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74310" cy="7344410"/>
            <wp:effectExtent l="0" t="0" r="8890" b="8890"/>
            <wp:docPr id="139" name="图片 139" descr="上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上行有效修补率表_1"/>
                    <pic:cNvPicPr>
                      <a:picLocks noChangeAspect="1"/>
                    </pic:cNvPicPr>
                  </pic:nvPicPr>
                  <pic:blipFill>
                    <a:blip r:embed="rId6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74310" cy="7344410"/>
            <wp:effectExtent l="0" t="0" r="8890" b="8890"/>
            <wp:docPr id="138" name="图片 138" descr="下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下行有效修补率表_1"/>
                    <pic:cNvPicPr>
                      <a:picLocks noChangeAspect="1"/>
                    </pic:cNvPicPr>
                  </pic:nvPicPr>
                  <pic:blipFill>
                    <a:blip r:embed="rId68"/>
                    <a:stretch>
                      <a:fillRect/>
                    </a:stretch>
                  </pic:blipFill>
                  <pic:spPr>
                    <a:xfrm>
                      <a:off x="0" y="0"/>
                      <a:ext cx="5274310" cy="7344410"/>
                    </a:xfrm>
                    <a:prstGeom prst="rect">
                      <a:avLst/>
                    </a:prstGeom>
                  </pic:spPr>
                </pic:pic>
              </a:graphicData>
            </a:graphic>
          </wp:inline>
        </w:drawing>
      </w:r>
    </w:p>
    <w:p w14:paraId="468873CB">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3" w:firstLineChars="20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t>三、具体抽检路段指标明细表</w:t>
      </w:r>
    </w:p>
    <w:p w14:paraId="2B6C926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0" w:firstLineChars="200"/>
        <w:jc w:val="both"/>
        <w:textAlignment w:val="auto"/>
        <w:rPr>
          <w:rFonts w:hint="default"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（附参与本次模版计算的原始数据）</w:t>
      </w:r>
    </w:p>
    <w:p w14:paraId="0FD2572D">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default" w:ascii="方正仿宋_GB2312" w:hAnsi="方正仿宋_GB2312" w:eastAsia="方正仿宋_GB2312" w:cs="方正仿宋_GB2312"/>
          <w:color w:val="auto"/>
          <w:kern w:val="2"/>
          <w:sz w:val="32"/>
          <w:szCs w:val="32"/>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8"/>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1" w:fontKey="{AED72BBC-F354-472A-B108-1AD62C55673E}"/>
  </w:font>
  <w:font w:name="方正小标宋_GBK">
    <w:altName w:val="微软雅黑"/>
    <w:panose1 w:val="03000509000000000000"/>
    <w:charset w:val="86"/>
    <w:family w:val="auto"/>
    <w:pitch w:val="default"/>
    <w:sig w:usb0="00000000" w:usb1="00000000" w:usb2="00000000" w:usb3="00000000" w:csb0="00040000" w:csb1="00000000"/>
    <w:embedRegular r:id="rId2" w:fontKey="{B114C99F-8094-4FAA-BC33-BE06810BDCC8}"/>
  </w:font>
  <w:font w:name="方正仿宋_GB2312">
    <w:panose1 w:val="02000000000000000000"/>
    <w:charset w:val="86"/>
    <w:family w:val="auto"/>
    <w:pitch w:val="default"/>
    <w:sig w:usb0="A00002BF" w:usb1="184F6CFA" w:usb2="00000012" w:usb3="00000000" w:csb0="00040001" w:csb1="00000000"/>
    <w:embedRegular r:id="rId3" w:fontKey="{E0A9AA22-C13F-410D-B1B4-080E10D773EC}"/>
  </w:font>
  <w:font w:name="仿宋">
    <w:panose1 w:val="02010609060101010101"/>
    <w:charset w:val="86"/>
    <w:family w:val="auto"/>
    <w:pitch w:val="default"/>
    <w:sig w:usb0="800002BF" w:usb1="38CF7CFA" w:usb2="00000016" w:usb3="00000000" w:csb0="00040001" w:csb1="00000000"/>
    <w:embedRegular r:id="rId4" w:fontKey="{999FE246-2892-4964-8E6C-2A906EF23834}"/>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D40022E"/>
    <w:rsid w:val="04187809"/>
    <w:rsid w:val="04E815E4"/>
    <w:rsid w:val="1F8A1AB7"/>
    <w:rsid w:val="3E82529D"/>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character" w:default="1" w:styleId="5">
    <w:name w:val="Default Paragraph Font"/>
    <w:semiHidden/>
    <w:qFormat/>
    <w:uiPriority w:val="0"/>
  </w:style>
  <w:style w:type="table" w:default="1" w:styleId="3">
    <w:name w:val="Normal Table"/>
    <w:semiHidden/>
    <w:qFormat/>
    <w:uiPriority w:val="0"/>
    <w:pPr>
      <w:keepNext w:val="0"/>
      <w:keepLines w:val="0"/>
      <w:widowControl/>
      <w:suppressLineNumbers w:val="0"/>
      <w:spacing w:before="0" w:beforeAutospacing="0" w:after="160" w:afterAutospacing="0" w:line="276" w:lineRule="auto"/>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styleId="2">
    <w:name w:val="annotation text"/>
    <w:basedOn w:val="1"/>
    <w:qFormat/>
    <w:uiPriority w:val="0"/>
    <w:pPr>
      <w:jc w:val="left"/>
    </w:p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9" Type="http://schemas.openxmlformats.org/officeDocument/2006/relationships/fontTable" Target="fontTable.xml"/><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814</Words>
  <Characters>990</Characters>
  <Lines>0</Lines>
  <Paragraphs>0</Paragraphs>
  <TotalTime>0</TotalTime>
  <ScaleCrop>false</ScaleCrop>
  <LinksUpToDate>false</LinksUpToDate>
  <CharactersWithSpaces>991</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2025-03-27T06:48:00Z</dcterms:created>
  <dc:creator>吾王berserker</dc:creator>
  <cp:lastModifiedBy>马儿宝莉</cp:lastModifiedBy>
  <dcterms:modified xsi:type="dcterms:W3CDTF">2025-04-27T06:39:18Z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9EA1866342FC469EB8F4DA0C196E7B2C_13</vt:lpwstr>
  </property>
  <property fmtid="{D5CDD505-2E9C-101B-9397-08002B2CF9AE}" pid="4" name="KSOTemplateDocerSaveRecord">
    <vt:lpwstr>eyJoZGlkIjoiNjg2NTQyMjY4NDZkZjczMTBhNDY3OTM5YWY1ZTllMWUiLCJ1c2VySWQiOiIyNzQ0NTQyNDgifQ==</vt:lpwstr>
  </property>
</Properties>
</file>